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9B46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outlineLvl w:val="0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东涌镇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2024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年财政预算调整报告</w:t>
      </w:r>
    </w:p>
    <w:p w14:paraId="1FEB7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楷体_GB2312"/>
          <w:color w:val="auto"/>
          <w:sz w:val="32"/>
          <w:szCs w:val="32"/>
        </w:rPr>
      </w:pPr>
    </w:p>
    <w:p w14:paraId="27B76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Style w:val="13"/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部分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2024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1-9月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财政预算执行情况</w:t>
      </w:r>
    </w:p>
    <w:p w14:paraId="039D932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Style w:val="13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13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2024年，在镇党委、镇政府的正确领导和镇人大的监督支持下，镇财政部门主动适应经济发展新常态，坚决贯彻落实镇委镇政府决策部署，</w:t>
      </w:r>
      <w:r>
        <w:rPr>
          <w:rFonts w:hint="eastAsia" w:eastAsia="仿宋_GB2312"/>
          <w:color w:val="auto"/>
          <w:sz w:val="32"/>
          <w:szCs w:val="32"/>
        </w:rPr>
        <w:t>科学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组织财政收入，调整优化支出结构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坚持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落实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党政机关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过“紧日子”要求，</w:t>
      </w:r>
      <w:r>
        <w:rPr>
          <w:rStyle w:val="13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筑牢兜实“三保”底线，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切实保障各项民生和公共事业的财政投入</w:t>
      </w:r>
      <w:r>
        <w:rPr>
          <w:rStyle w:val="13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，狠抓收支管理，坚持厉行节约，把有限的资金用在刀刃上，确保重点支出项目</w:t>
      </w:r>
      <w:bookmarkStart w:id="0" w:name="_GoBack"/>
      <w:bookmarkEnd w:id="0"/>
      <w:r>
        <w:rPr>
          <w:rStyle w:val="13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得以有效保障，扎实推进财政各项工作。1-9月全镇财政收支执行情况良好，有效促进</w:t>
      </w:r>
      <w:r>
        <w:rPr>
          <w:rStyle w:val="13"/>
          <w:rFonts w:hint="eastAsia" w:eastAsia="仿宋_GB2312" w:cs="Times New Roman"/>
          <w:b w:val="0"/>
          <w:bCs/>
          <w:color w:val="auto"/>
          <w:sz w:val="32"/>
          <w:szCs w:val="32"/>
          <w:lang w:val="en-US" w:eastAsia="zh-CN"/>
        </w:rPr>
        <w:t>东涌镇</w:t>
      </w:r>
      <w:r>
        <w:rPr>
          <w:rStyle w:val="13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经济社会和各项事业的持续发展。</w:t>
      </w:r>
    </w:p>
    <w:p w14:paraId="46A48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3"/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1-9月，全镇可支配财力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93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,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163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万元，当年财政预算总收入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45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,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164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万元，完成年初预算的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93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%；使用历年结余资金47,999万元。完成各项财政预算支出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64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,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266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万元，完成年初预算的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69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%，同比下降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38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%，主要原因是庆盛枢纽区块开发建设项目等重点征补专项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支出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减少。</w:t>
      </w:r>
    </w:p>
    <w:p w14:paraId="53E82F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outlineLvl w:val="9"/>
        <w:rPr>
          <w:rStyle w:val="13"/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3"/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Style w:val="13"/>
          <w:rFonts w:hint="eastAsia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2024年</w:t>
      </w:r>
      <w:r>
        <w:rPr>
          <w:rStyle w:val="13"/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1-9月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一般公共预算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收支执行情况</w:t>
      </w:r>
    </w:p>
    <w:p w14:paraId="6C3C2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lang w:eastAsia="zh-CN"/>
        </w:rPr>
        <w:t>一般公共预算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收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lang w:eastAsia="zh-CN"/>
        </w:rPr>
        <w:t>入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执行情况</w:t>
      </w:r>
    </w:p>
    <w:p w14:paraId="2CE17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1-9月，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全镇一般公共预算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,3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按可比口径，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年初预算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%，同比下降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。其中：体制内转移支付收入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849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万元，区级一般公共预算收入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471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万元。</w:t>
      </w:r>
    </w:p>
    <w:p w14:paraId="6D7CC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（二）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lang w:eastAsia="zh-CN"/>
        </w:rPr>
        <w:t>一般公共预算支出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执行情况</w:t>
      </w:r>
    </w:p>
    <w:p w14:paraId="0E90D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1-9月，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全镇一般公共预算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扣除调账因素后同口径完成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46,465万元，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年初预算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，同比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51BD6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一般公共预算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按支出功能科目分类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（按可比口径）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：一般公共服务支出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,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369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完成年初预算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；国防及公共安全支出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,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96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完成年初预算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；教育支出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,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94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完成年初预算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63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；科学技术支出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356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完成年初预算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；文化旅游体育与传媒支出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457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完成年初预算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；社会保障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就业支出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,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148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完成年初预算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74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；卫生健康支出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614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完成年初预算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；节能环保支出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53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完成年初预算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；城乡社区事务支出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49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,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184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完成年初预算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71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；农林水事务支出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168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完成年初预算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84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；交通运输支出及资源勘探工业信息支出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772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完成年初预算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77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；自然资源海洋气象及灾害防治应急管理等支出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1,215万元，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成年初预算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93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；住房保障支出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,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完成年初预算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79B23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3"/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</w:t>
      </w:r>
      <w:r>
        <w:rPr>
          <w:rStyle w:val="13"/>
          <w:rFonts w:hint="eastAsia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2024年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1-9月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政府性基金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收支执行情况</w:t>
      </w:r>
    </w:p>
    <w:p w14:paraId="63367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lang w:eastAsia="zh-CN"/>
        </w:rPr>
        <w:t>政府性基金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收入执行情况</w:t>
      </w:r>
    </w:p>
    <w:p w14:paraId="174EA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1-9月，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全镇政府性基金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收入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-24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,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156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主要原因是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根据区财政局要求，调整庆盛枢纽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征补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项目以前年度收支功能分类，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冲减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政府性基金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，调整至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一般公共预算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54585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（二）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lang w:eastAsia="zh-CN"/>
        </w:rPr>
        <w:t>政府性基金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支出执行情况</w:t>
      </w:r>
    </w:p>
    <w:p w14:paraId="6D323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1-9月，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全镇政府性基金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支出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-21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,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504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，扣除调账因素后同口径完成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17,771万元，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完成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年初预算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%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主要用于加强基础设施建设、推动征收工作、提升环境整治等方面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778ED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、202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年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1-9月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财政专户资金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收支执行情况</w:t>
      </w:r>
    </w:p>
    <w:p w14:paraId="256C7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由于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学前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保教费纳入年终体制清算及中小学上划教育局管理的原因，本年无财政专户资金收入。使用上年结余资金98万元。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1-9月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全镇财政专户资金支出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完成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年初预算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全部用于环卫保洁方面。</w:t>
      </w:r>
    </w:p>
    <w:p w14:paraId="2B94C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Style w:val="13"/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第二部分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2024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财政收支预算调整方案</w:t>
      </w:r>
    </w:p>
    <w:p w14:paraId="12A79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东涌镇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今年1-9月预算执行情况和镇委镇政府的中心工作安排，按照“量财办事”和收支平衡的原则，提出预算调整方案如下。</w:t>
      </w:r>
    </w:p>
    <w:p w14:paraId="0A3D7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yello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2024年镇财政预算可支配财力调整为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万元，比年初预算增加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24,714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%，其中：镇本级财政收入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万元，区级专项转移支付收入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万元，使用上年结余资金47,999万元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（主要为区级专项结余）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。安排各项财政预算支出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88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746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万元，比年初预算减少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万元，下降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%，2024年财政滚存结余资金3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568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万元。</w:t>
      </w:r>
    </w:p>
    <w:p w14:paraId="56694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一、202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一般公共预算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收支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计划调整情况</w:t>
      </w:r>
    </w:p>
    <w:p w14:paraId="1488E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一般公共预算收入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计划调整情况</w:t>
      </w:r>
    </w:p>
    <w:p w14:paraId="5115F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一般公共预算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本年收入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调整为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471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（扣除调账因素后同口径收入计划调整为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58,196万元，</w:t>
      </w:r>
      <w:r>
        <w:rPr>
          <w:rStyle w:val="13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比年初预算</w:t>
      </w:r>
      <w:r>
        <w:rPr>
          <w:rStyle w:val="13"/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增加9,595</w:t>
      </w:r>
      <w:r>
        <w:rPr>
          <w:rStyle w:val="13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万元</w:t>
      </w:r>
      <w:r>
        <w:rPr>
          <w:rStyle w:val="13"/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Style w:val="13"/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增长</w:t>
      </w:r>
      <w:r>
        <w:rPr>
          <w:rStyle w:val="13"/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20</w:t>
      </w:r>
      <w:r>
        <w:rPr>
          <w:rStyle w:val="13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%</w:t>
      </w:r>
      <w:r>
        <w:rPr>
          <w:rStyle w:val="13"/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Style w:val="13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比上年实绩</w:t>
      </w:r>
      <w:r>
        <w:rPr>
          <w:rStyle w:val="13"/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下降9</w:t>
      </w:r>
      <w:r>
        <w:rPr>
          <w:rStyle w:val="13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Style w:val="13"/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其中：体制内一般性转移支付补助收入为48,000万元，与年初预算持平；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区级一般公共预算收入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调整为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471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按可比口径，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比年初预算增加</w:t>
      </w:r>
      <w:r>
        <w:rPr>
          <w:rStyle w:val="13"/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9,595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使用一般公共预算上年结余资金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13,740万元。</w:t>
      </w:r>
    </w:p>
    <w:p w14:paraId="12C4A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一般公共预算支出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计划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调整情况</w:t>
      </w:r>
    </w:p>
    <w:p w14:paraId="6B6FA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全镇一般公共预算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支出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调整为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99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176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扣除调账因素后同口径支出计划调整为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59,901万元，</w:t>
      </w:r>
      <w:r>
        <w:rPr>
          <w:rStyle w:val="13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比年初预算</w:t>
      </w:r>
      <w:r>
        <w:rPr>
          <w:rStyle w:val="13"/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增加</w:t>
      </w:r>
      <w:r>
        <w:rPr>
          <w:rStyle w:val="13"/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Style w:val="13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,</w:t>
      </w:r>
      <w:r>
        <w:rPr>
          <w:rStyle w:val="13"/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107</w:t>
      </w:r>
      <w:r>
        <w:rPr>
          <w:rStyle w:val="13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万元，</w:t>
      </w:r>
      <w:r>
        <w:rPr>
          <w:rStyle w:val="13"/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增长</w:t>
      </w:r>
      <w:r>
        <w:rPr>
          <w:rStyle w:val="13"/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Style w:val="13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%，比上年实绩增长</w:t>
      </w:r>
      <w:r>
        <w:rPr>
          <w:rStyle w:val="13"/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8</w:t>
      </w:r>
      <w:r>
        <w:rPr>
          <w:rStyle w:val="13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%</w:t>
      </w:r>
      <w:r>
        <w:rPr>
          <w:rStyle w:val="13"/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28E370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outlineLvl w:val="9"/>
        <w:rPr>
          <w:rStyle w:val="13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主要支出计划安排如下：</w:t>
      </w:r>
    </w:p>
    <w:p w14:paraId="463603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一般公共服务支出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,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068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万元，比年初预算调减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693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万元，比上年实绩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%，主要是落实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过紧日子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要求压减一般性支出经费。</w:t>
      </w:r>
    </w:p>
    <w:p w14:paraId="111BEA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国防支出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万元，比年初预算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调增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万元，比上年实绩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%，主要是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根据工作计划，增加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武装部征兵工作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及民兵训练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支出。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</w:t>
      </w:r>
    </w:p>
    <w:p w14:paraId="33B593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公共安全支出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,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76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万元，比年初预算调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增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万元，比上年实绩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减少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%，主要是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增加综治维稳支出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3FDFDA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教育支出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,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091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万元，比年初预算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调增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2,530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万元，比上年实绩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增长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主要是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增加学前教育经费投入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。 </w:t>
      </w:r>
    </w:p>
    <w:p w14:paraId="746ED1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科学技术支出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438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万元，比年初预算调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减87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比上年实绩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%。</w:t>
      </w:r>
    </w:p>
    <w:p w14:paraId="02CEB4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文化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旅游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体育与传媒支出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673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万元，比年初预算调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增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万元，比上年实绩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下降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。主要是增加文体活动经费。</w:t>
      </w:r>
    </w:p>
    <w:p w14:paraId="1ED815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社会保障就业支出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,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936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万元，比年初预算调减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万元，比上年实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绩增长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%，主要是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根据实际工作情况，调减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基层治理、义务兵补贴等经费。</w:t>
      </w:r>
    </w:p>
    <w:p w14:paraId="7C22DB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卫生健康支出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881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万元，比年初预算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调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增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万元，比上年实绩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下降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73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%，主要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调增登革热消杀等卫生工作经费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274341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节能环保支出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91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万元，比年初预算调减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182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比上年实绩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减少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，主要是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按实际工作进度，调减村居环境提升工程专项经费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3540C7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城乡社区支出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,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808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按可比口径，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比年初预算调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减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1,336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万元，比上年实绩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增长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主要是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将部分“百千万工程”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基础设施项目经费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调整至政府性基金列支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1A0BED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农林水事务支出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,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789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万元，比年初预算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调增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2,401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万元，比上年实绩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，主要是调增青山绿地、高速路生态景观林带等经费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7DD51E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住房保障支出2,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489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万元，比年初预算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调增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比上年实绩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增长5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</w:p>
    <w:p w14:paraId="0E0CAB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交通运输支出及资源勘探工业信息等支出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1,014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万元，比年初预算调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增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比上年实绩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增长2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</w:p>
    <w:p w14:paraId="1D9A56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自然资源海洋气象及灾害防治应急管理等支出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1,482万元，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比年初预算调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增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1,357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比上年实绩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增长20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，主要是调增耕地整治恢复经济激励专项经费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347DCF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预备费及其他支出共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880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万元，比年初预算调减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3,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万元，主要是调减年初预留部门预算分配经费。</w:t>
      </w:r>
    </w:p>
    <w:p w14:paraId="7DD44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二、202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政府性基金预算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收支计划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调整情况</w:t>
      </w:r>
    </w:p>
    <w:p w14:paraId="77759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政府性基金收入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计划调整情况</w:t>
      </w:r>
    </w:p>
    <w:p w14:paraId="7D823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根据区财政局要求，调整庆盛枢纽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征补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项目以前年度收支功能分类，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冲减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政府性基金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，调整至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一般公共预算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政府性基金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年收入调整为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扣除调账因素后同口径收入计划调整为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15,119万元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比年初预算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增加15,119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。使用政府性基金上年结余资金34,161万元。</w:t>
      </w:r>
    </w:p>
    <w:p w14:paraId="64E59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政府性基金支出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计划调整情况</w:t>
      </w:r>
    </w:p>
    <w:p w14:paraId="6E21F5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政府性基金支出调整为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460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扣除调账因素后同口径支出计划调整为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28,815万元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比年初预算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减少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328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下降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%。上述支出主要有：城乡社区事务支出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万元（主要是征地、水务及土地出让金等项目支出）；其他支出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-42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,5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万元（主要是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根据区财局要求，调整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专项债券资金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功能科目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）。</w:t>
      </w:r>
    </w:p>
    <w:p w14:paraId="7649D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财政专户资金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收支计划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调整情况</w:t>
      </w:r>
    </w:p>
    <w:p w14:paraId="185D5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由于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学前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保教费纳入年终体制清算及中小学上划教育局管理的原因，本年无财政专户资金收入。使用上年结余资金98万元。支出计划安排30万元，全部用于环卫保洁方面。</w:t>
      </w:r>
    </w:p>
    <w:p w14:paraId="4AB99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综观全年财政收支预算调整，大力压减一般性项目支出，控制行政运行成本，将节约资金统筹用于基本民生保障等重点领域。全年用于民生及公共事业方面的项目支出达到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389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一般公共预算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%。2024年财政收支相抵后年末滚存结余为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568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万元，其中：一般公共预算结余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035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万元、政府性基金结余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465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万元、财政专户结余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万元。</w:t>
      </w:r>
    </w:p>
    <w:p w14:paraId="6D1E8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四、收回存量资金预算调整情况</w:t>
      </w:r>
    </w:p>
    <w:p w14:paraId="6123E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2024年收回部门存量资金计划支出调整为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869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万元，包括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城乡社区支出2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9万元、资源勘探工业信息等支出206万元、农林水支出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177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万元、教育支出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2万元、社会保障和就业支出61万元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、一般公共服务、卫生健康、节能环保、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文化旅游体育与传媒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及公共安全等支出104万元。</w:t>
      </w:r>
    </w:p>
    <w:p w14:paraId="32C253A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81CD3">
    <w:pPr>
      <w:pStyle w:val="5"/>
      <w:framePr w:wrap="around" w:vAnchor="text" w:hAnchor="margin" w:xAlign="outside" w:yAlign="top"/>
      <w:pBdr>
        <w:between w:val="none" w:color="auto" w:sz="0" w:space="0"/>
      </w:pBdr>
    </w:pPr>
    <w:r>
      <w:rPr>
        <w:rFonts w:hint="eastAsia" w:ascii="宋体" w:hAnsi="宋体"/>
        <w:sz w:val="28"/>
      </w:rPr>
      <w:fldChar w:fldCharType="begin"/>
    </w:r>
    <w:r>
      <w:rPr>
        <w:rStyle w:val="10"/>
        <w:rFonts w:hint="eastAsia" w:ascii="宋体" w:hAnsi="宋体"/>
        <w:sz w:val="28"/>
      </w:rPr>
      <w:instrText xml:space="preserve"> PAGE  </w:instrText>
    </w:r>
    <w:r>
      <w:rPr>
        <w:rFonts w:hint="eastAsia" w:ascii="宋体" w:hAnsi="宋体"/>
        <w:sz w:val="28"/>
      </w:rPr>
      <w:fldChar w:fldCharType="separate"/>
    </w:r>
    <w:r>
      <w:rPr>
        <w:rStyle w:val="10"/>
        <w:rFonts w:ascii="宋体" w:hAnsi="宋体"/>
        <w:sz w:val="28"/>
      </w:rPr>
      <w:t>- 5 -</w:t>
    </w:r>
    <w:r>
      <w:rPr>
        <w:rFonts w:hint="eastAsia" w:ascii="宋体" w:hAnsi="宋体"/>
        <w:sz w:val="28"/>
      </w:rPr>
      <w:fldChar w:fldCharType="end"/>
    </w:r>
  </w:p>
  <w:p w14:paraId="4F89F3AD">
    <w:pPr>
      <w:pStyle w:val="5"/>
      <w:ind w:right="360" w:firstLine="360"/>
      <w:jc w:val="right"/>
    </w:pPr>
  </w:p>
  <w:p w14:paraId="0C865000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0E187">
    <w:pPr>
      <w:pStyle w:val="5"/>
      <w:framePr w:wrap="around" w:vAnchor="text" w:hAnchor="margin" w:xAlign="inside" w:yAlign="top"/>
      <w:pBdr>
        <w:between w:val="none" w:color="auto" w:sz="0" w:space="0"/>
      </w:pBdr>
    </w:pPr>
    <w:r>
      <w:fldChar w:fldCharType="begin"/>
    </w:r>
    <w:r>
      <w:rPr>
        <w:rStyle w:val="10"/>
      </w:rPr>
      <w:instrText xml:space="preserve"> PAGE  </w:instrText>
    </w:r>
    <w:r>
      <w:fldChar w:fldCharType="separate"/>
    </w:r>
    <w:r>
      <w:rPr>
        <w:rStyle w:val="10"/>
      </w:rPr>
      <w:t>- 5 -</w:t>
    </w:r>
    <w:r>
      <w:fldChar w:fldCharType="end"/>
    </w:r>
  </w:p>
  <w:p w14:paraId="2619E597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NDMyYzdlODllNzZlMzc4YzA3YjljODYzMTFjY2UifQ=="/>
  </w:docVars>
  <w:rsids>
    <w:rsidRoot w:val="00172A27"/>
    <w:rsid w:val="00011B75"/>
    <w:rsid w:val="00012ABD"/>
    <w:rsid w:val="0002012D"/>
    <w:rsid w:val="000E5B85"/>
    <w:rsid w:val="000E686C"/>
    <w:rsid w:val="00103A78"/>
    <w:rsid w:val="00146750"/>
    <w:rsid w:val="001B496D"/>
    <w:rsid w:val="001D7C65"/>
    <w:rsid w:val="002460DD"/>
    <w:rsid w:val="0027673D"/>
    <w:rsid w:val="0027722B"/>
    <w:rsid w:val="00291C09"/>
    <w:rsid w:val="003100A6"/>
    <w:rsid w:val="003308A8"/>
    <w:rsid w:val="003408D6"/>
    <w:rsid w:val="00343471"/>
    <w:rsid w:val="003803DA"/>
    <w:rsid w:val="003D3FEC"/>
    <w:rsid w:val="003D67FD"/>
    <w:rsid w:val="00411C1F"/>
    <w:rsid w:val="004177CB"/>
    <w:rsid w:val="00492F19"/>
    <w:rsid w:val="004E1BBA"/>
    <w:rsid w:val="004E7641"/>
    <w:rsid w:val="005401BB"/>
    <w:rsid w:val="005E3F0B"/>
    <w:rsid w:val="005F0E53"/>
    <w:rsid w:val="00725E96"/>
    <w:rsid w:val="007746D3"/>
    <w:rsid w:val="00790F5A"/>
    <w:rsid w:val="007A3E85"/>
    <w:rsid w:val="007A6CE6"/>
    <w:rsid w:val="007B0488"/>
    <w:rsid w:val="007B1684"/>
    <w:rsid w:val="00814D52"/>
    <w:rsid w:val="00896B87"/>
    <w:rsid w:val="0092181B"/>
    <w:rsid w:val="009B0980"/>
    <w:rsid w:val="009E6C3E"/>
    <w:rsid w:val="009F4DAA"/>
    <w:rsid w:val="00A4389B"/>
    <w:rsid w:val="00A536CE"/>
    <w:rsid w:val="00A95CD7"/>
    <w:rsid w:val="00AC6B34"/>
    <w:rsid w:val="00B039BF"/>
    <w:rsid w:val="00B27942"/>
    <w:rsid w:val="00B77256"/>
    <w:rsid w:val="00B9069D"/>
    <w:rsid w:val="00BB699F"/>
    <w:rsid w:val="00BE4446"/>
    <w:rsid w:val="00C150DE"/>
    <w:rsid w:val="00C231A2"/>
    <w:rsid w:val="00CA05C3"/>
    <w:rsid w:val="00CC7C9D"/>
    <w:rsid w:val="00D138EF"/>
    <w:rsid w:val="00DB0E5C"/>
    <w:rsid w:val="00DB7541"/>
    <w:rsid w:val="00DD3D2F"/>
    <w:rsid w:val="00DF71AF"/>
    <w:rsid w:val="00E128D8"/>
    <w:rsid w:val="00E362AB"/>
    <w:rsid w:val="00E6324F"/>
    <w:rsid w:val="00E86F90"/>
    <w:rsid w:val="00F2096E"/>
    <w:rsid w:val="00F2210F"/>
    <w:rsid w:val="00F3508C"/>
    <w:rsid w:val="00F66AAD"/>
    <w:rsid w:val="00F9240C"/>
    <w:rsid w:val="02AC5A1B"/>
    <w:rsid w:val="04AF766B"/>
    <w:rsid w:val="06673A2C"/>
    <w:rsid w:val="07C20CED"/>
    <w:rsid w:val="080D214C"/>
    <w:rsid w:val="0816216E"/>
    <w:rsid w:val="08901B07"/>
    <w:rsid w:val="08B759A3"/>
    <w:rsid w:val="08FD4270"/>
    <w:rsid w:val="09E0427B"/>
    <w:rsid w:val="0A0A1653"/>
    <w:rsid w:val="0A9E2450"/>
    <w:rsid w:val="0F0B2EB5"/>
    <w:rsid w:val="11804169"/>
    <w:rsid w:val="14C616E6"/>
    <w:rsid w:val="164F6320"/>
    <w:rsid w:val="16B82092"/>
    <w:rsid w:val="16D9181D"/>
    <w:rsid w:val="189866C8"/>
    <w:rsid w:val="1A935930"/>
    <w:rsid w:val="1B212FA1"/>
    <w:rsid w:val="1B872A39"/>
    <w:rsid w:val="1CC162B0"/>
    <w:rsid w:val="1F8B0A28"/>
    <w:rsid w:val="1FB51EC0"/>
    <w:rsid w:val="214B35FD"/>
    <w:rsid w:val="23497B40"/>
    <w:rsid w:val="234D1884"/>
    <w:rsid w:val="245374F4"/>
    <w:rsid w:val="254B1497"/>
    <w:rsid w:val="27AB6616"/>
    <w:rsid w:val="29044F8B"/>
    <w:rsid w:val="2921383F"/>
    <w:rsid w:val="292824AE"/>
    <w:rsid w:val="30F1196E"/>
    <w:rsid w:val="344A1C3B"/>
    <w:rsid w:val="36A523D7"/>
    <w:rsid w:val="37901073"/>
    <w:rsid w:val="3A6E1A24"/>
    <w:rsid w:val="3A884DA7"/>
    <w:rsid w:val="3AB0687F"/>
    <w:rsid w:val="3C685259"/>
    <w:rsid w:val="3EF031CA"/>
    <w:rsid w:val="4013025E"/>
    <w:rsid w:val="42F87D39"/>
    <w:rsid w:val="43BD5919"/>
    <w:rsid w:val="43D679F0"/>
    <w:rsid w:val="44C05D3A"/>
    <w:rsid w:val="44F02535"/>
    <w:rsid w:val="4A355D55"/>
    <w:rsid w:val="4B8A76B5"/>
    <w:rsid w:val="4D4E28C0"/>
    <w:rsid w:val="4D5D1F64"/>
    <w:rsid w:val="50D109F9"/>
    <w:rsid w:val="51724E93"/>
    <w:rsid w:val="52B309E8"/>
    <w:rsid w:val="542F439F"/>
    <w:rsid w:val="55437E60"/>
    <w:rsid w:val="5817433D"/>
    <w:rsid w:val="587D7F12"/>
    <w:rsid w:val="58856132"/>
    <w:rsid w:val="5B5738F1"/>
    <w:rsid w:val="5C9F0EA4"/>
    <w:rsid w:val="5CC83C5F"/>
    <w:rsid w:val="5DE77A88"/>
    <w:rsid w:val="6322012B"/>
    <w:rsid w:val="64250A2A"/>
    <w:rsid w:val="653B0C59"/>
    <w:rsid w:val="65B54F32"/>
    <w:rsid w:val="66457A44"/>
    <w:rsid w:val="68916C34"/>
    <w:rsid w:val="69694593"/>
    <w:rsid w:val="69D77D4E"/>
    <w:rsid w:val="6A9066A0"/>
    <w:rsid w:val="6AE818B1"/>
    <w:rsid w:val="6B1D51F6"/>
    <w:rsid w:val="6B704260"/>
    <w:rsid w:val="6BC1233D"/>
    <w:rsid w:val="6D1C7826"/>
    <w:rsid w:val="6FB91440"/>
    <w:rsid w:val="71275897"/>
    <w:rsid w:val="741A282E"/>
    <w:rsid w:val="74CD4705"/>
    <w:rsid w:val="76053BCA"/>
    <w:rsid w:val="766447D5"/>
    <w:rsid w:val="78A11A26"/>
    <w:rsid w:val="7AB068BD"/>
    <w:rsid w:val="7B985813"/>
    <w:rsid w:val="7E7A1B74"/>
    <w:rsid w:val="7EAB67CD"/>
    <w:rsid w:val="7F166649"/>
    <w:rsid w:val="7F9A79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hint="default" w:ascii="Cambria" w:hAnsi="Cambria" w:eastAsia="宋体"/>
      <w:b/>
      <w:kern w:val="0"/>
      <w:sz w:val="21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NormalCharacter"/>
    <w:link w:val="1"/>
    <w:autoRedefine/>
    <w:semiHidden/>
    <w:qFormat/>
    <w:uiPriority w:val="0"/>
    <w:rPr>
      <w:kern w:val="2"/>
      <w:sz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3289</Words>
  <Characters>3797</Characters>
  <Lines>22</Lines>
  <Paragraphs>6</Paragraphs>
  <TotalTime>5</TotalTime>
  <ScaleCrop>false</ScaleCrop>
  <LinksUpToDate>false</LinksUpToDate>
  <CharactersWithSpaces>3811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2017-09-27T01:50:00Z</dcterms:created>
  <dc:creator>Administrator</dc:creator>
  <cp:lastModifiedBy>Ivan、</cp:lastModifiedBy>
  <cp:lastPrinted>2024-10-15T03:00:00Z</cp:lastPrinted>
  <dcterms:modified xsi:type="dcterms:W3CDTF">2024-10-29T07:37:01Z</dcterms:modified>
  <dc:title>Administrator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91816886E07C4D189250FA8DF4C0A328_13</vt:lpwstr>
  </property>
</Properties>
</file>